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36"/>
          <w:szCs w:val="36"/>
        </w:rPr>
        <w:t>Š T A T Ú T</w:t>
      </w:r>
    </w:p>
    <w:p w:rsidR="0021127B" w:rsidRDefault="0021127B" w:rsidP="0021127B">
      <w:pPr>
        <w:autoSpaceDE w:val="0"/>
        <w:autoSpaceDN w:val="0"/>
        <w:adjustRightInd w:val="0"/>
        <w:spacing w:after="240"/>
        <w:ind w:right="-432"/>
        <w:jc w:val="center"/>
        <w:rPr>
          <w:rFonts w:ascii="Times" w:hAnsi="Times" w:cs="Times"/>
          <w:color w:val="FF0000"/>
          <w:sz w:val="20"/>
          <w:szCs w:val="20"/>
        </w:rPr>
      </w:pPr>
      <w:r>
        <w:rPr>
          <w:rFonts w:ascii="Helvetica" w:hAnsi="Helvetica" w:cs="Helvetica"/>
          <w:b/>
          <w:bCs/>
          <w:color w:val="FF0000"/>
          <w:sz w:val="28"/>
          <w:szCs w:val="28"/>
        </w:rPr>
        <w:t>(presný názov knižnice)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Obec................................................... </w:t>
      </w:r>
    </w:p>
    <w:p w:rsidR="0021127B" w:rsidRDefault="0021127B" w:rsidP="0021127B">
      <w:pPr>
        <w:autoSpaceDE w:val="0"/>
        <w:autoSpaceDN w:val="0"/>
        <w:adjustRightInd w:val="0"/>
        <w:spacing w:after="360" w:line="276" w:lineRule="auto"/>
        <w:ind w:right="-432"/>
        <w:jc w:val="both"/>
        <w:rPr>
          <w:rFonts w:ascii="Times" w:hAnsi="Times" w:cs="Times"/>
          <w:color w:val="FF0000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na základe zák. č. 369/1990 Z. z. o obecnom zriadení v znení neskorších predpisov a zákona č.126/2015 Z. z. o knižniciach vydáva tento štatút </w:t>
      </w:r>
      <w:r>
        <w:rPr>
          <w:rFonts w:ascii="Times" w:hAnsi="Times" w:cs="Times"/>
          <w:color w:val="FF0000"/>
          <w:sz w:val="22"/>
          <w:szCs w:val="22"/>
        </w:rPr>
        <w:t>(presný názov knižnice)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t>§ 1</w:t>
      </w:r>
    </w:p>
    <w:p w:rsidR="0021127B" w:rsidRDefault="0021127B" w:rsidP="0021127B">
      <w:pPr>
        <w:autoSpaceDE w:val="0"/>
        <w:autoSpaceDN w:val="0"/>
        <w:adjustRightInd w:val="0"/>
        <w:spacing w:after="240"/>
        <w:ind w:right="-432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Právne postavenie knižnice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Zriaďovateľ: Obec .........................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color w:val="FF0000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Názov organizácie: </w:t>
      </w:r>
      <w:r>
        <w:rPr>
          <w:rFonts w:ascii="Times" w:hAnsi="Times" w:cs="Times"/>
          <w:color w:val="FF0000"/>
          <w:sz w:val="22"/>
          <w:szCs w:val="22"/>
        </w:rPr>
        <w:t>(presný názov knižnice ako je uvedený vyššie)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color w:val="FF0000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Typ hospodárenia: </w:t>
      </w:r>
      <w:r>
        <w:rPr>
          <w:rFonts w:ascii="Times" w:hAnsi="Times" w:cs="Times"/>
          <w:color w:val="FF0000"/>
          <w:sz w:val="22"/>
          <w:szCs w:val="22"/>
        </w:rPr>
        <w:t>organizačná zložka obecného úradu / kultúrneho strediska a pod. / príspevková organizácia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Predmet činnosti: poskytovanie knižnično-informačných služieb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Knižnica nemá právnu subjektivitu, teda nemá právo vystupovať v právnych vzťahoch.  </w:t>
      </w:r>
    </w:p>
    <w:p w:rsidR="0021127B" w:rsidRDefault="0021127B" w:rsidP="0021127B">
      <w:pPr>
        <w:autoSpaceDE w:val="0"/>
        <w:autoSpaceDN w:val="0"/>
        <w:adjustRightInd w:val="0"/>
        <w:spacing w:after="360" w:line="276" w:lineRule="auto"/>
        <w:ind w:right="-432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2"/>
          <w:szCs w:val="22"/>
        </w:rPr>
        <w:t>Pri budovaní knižničných fondov a zabezpečovaní služieb obyvateľom obce knižnica spolupracuje so Žitnoostrovskou knižnicou v Dunajskej Strede, ktorá plní úlohu metodického centra pre verejné knižnice v okrese Dunajská Streda.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t>§ 2</w:t>
      </w:r>
    </w:p>
    <w:p w:rsidR="0021127B" w:rsidRDefault="0021127B" w:rsidP="0021127B">
      <w:pPr>
        <w:autoSpaceDE w:val="0"/>
        <w:autoSpaceDN w:val="0"/>
        <w:adjustRightInd w:val="0"/>
        <w:spacing w:after="240"/>
        <w:ind w:right="-432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Poslanie knižnice</w:t>
      </w:r>
    </w:p>
    <w:p w:rsidR="0021127B" w:rsidRDefault="0021127B" w:rsidP="002112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 w:rsidRPr="0021127B">
        <w:rPr>
          <w:rFonts w:ascii="Times" w:hAnsi="Times" w:cs="Times"/>
          <w:sz w:val="22"/>
          <w:szCs w:val="22"/>
        </w:rPr>
        <w:t>Knižnica dopĺňa, odborne eviduje, spracováva, uchováva, ochraňuje a sprístupňuje univerzálny knižničný fond vrátane knižničných dokumentov miestneho významu. Doplňovanie, budovanie a sprístupňovanie knižničného fondu realizuje knižnica na princípe nezávislosti a odbornosti. Doplňovanie, budovanie a sprístupňovanie knižničného fondu nesmie podliehať ideologickej, politickej ani náboženskej cenzúre ani komerčnému vplyvu alebo inému vplyvu.</w:t>
      </w:r>
    </w:p>
    <w:p w:rsidR="0021127B" w:rsidRPr="0021127B" w:rsidRDefault="0021127B" w:rsidP="002112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 w:rsidRPr="0021127B">
        <w:rPr>
          <w:rFonts w:ascii="Times" w:hAnsi="Times" w:cs="Times"/>
          <w:sz w:val="22"/>
          <w:szCs w:val="22"/>
        </w:rPr>
        <w:t xml:space="preserve">Poskytuje knižnično-informačné služby používateľom  </w:t>
      </w:r>
    </w:p>
    <w:p w:rsidR="0021127B" w:rsidRPr="0021127B" w:rsidRDefault="0021127B" w:rsidP="002112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 w:rsidRPr="0021127B">
        <w:rPr>
          <w:rFonts w:ascii="Times" w:hAnsi="Times" w:cs="Times"/>
          <w:sz w:val="22"/>
          <w:szCs w:val="22"/>
        </w:rPr>
        <w:t xml:space="preserve">Organizuje a uskutočňuje </w:t>
      </w:r>
      <w:proofErr w:type="spellStart"/>
      <w:r w:rsidRPr="0021127B">
        <w:rPr>
          <w:rFonts w:ascii="Times" w:hAnsi="Times" w:cs="Times"/>
          <w:sz w:val="22"/>
          <w:szCs w:val="22"/>
        </w:rPr>
        <w:t>komunitné</w:t>
      </w:r>
      <w:proofErr w:type="spellEnd"/>
      <w:r w:rsidRPr="0021127B">
        <w:rPr>
          <w:rFonts w:ascii="Times" w:hAnsi="Times" w:cs="Times"/>
          <w:sz w:val="22"/>
          <w:szCs w:val="22"/>
        </w:rPr>
        <w:t xml:space="preserve">, kultúrno-spoločenské a vzdelávacie aktivity 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t>§ 3</w:t>
      </w:r>
    </w:p>
    <w:p w:rsidR="0021127B" w:rsidRDefault="0021127B" w:rsidP="0021127B">
      <w:pPr>
        <w:autoSpaceDE w:val="0"/>
        <w:autoSpaceDN w:val="0"/>
        <w:adjustRightInd w:val="0"/>
        <w:spacing w:after="240"/>
        <w:ind w:right="-432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Sprístupnenie knižničných fondov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>Knižničné fondy sú sprístupňované voľným výberom. Dokumenty, ktoré knižnica nemá vo svojom fonde, môže zabezpečiť záujemcom z inej knižnice prostredníctvom medziknižničnej výpožičnej služby.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2.</w:t>
      </w:r>
      <w:r>
        <w:rPr>
          <w:rFonts w:ascii="Times" w:hAnsi="Times" w:cs="Times"/>
          <w:sz w:val="22"/>
          <w:szCs w:val="22"/>
        </w:rPr>
        <w:tab/>
        <w:t>Knižnica poskytuje svoje služby všetkým používateľom bez rozdielu ich politickej orientácie, náboženského presvedčenia, bez rozdielu rás, národnosti, spoločenského, alebo sociálneho postavenia.</w:t>
      </w:r>
    </w:p>
    <w:p w:rsidR="0021127B" w:rsidRDefault="0021127B" w:rsidP="0021127B">
      <w:pPr>
        <w:autoSpaceDE w:val="0"/>
        <w:autoSpaceDN w:val="0"/>
        <w:adjustRightInd w:val="0"/>
        <w:spacing w:after="3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>Knižnica nesmie uchovávať, propagovať a požičiavať diela, ktoré sú v rozpore s Ústavou Slovenskej republiky a s Listinou ľudských práv a slobôd.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lastRenderedPageBreak/>
        <w:t>§ 4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Správa knižnice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both"/>
        <w:rPr>
          <w:rFonts w:ascii="Times" w:hAnsi="Times" w:cs="Times"/>
          <w:sz w:val="22"/>
          <w:szCs w:val="22"/>
        </w:rPr>
      </w:pP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>Za činnosť knižnice a za hospodárenie so zverenými finančnými prostriedkami a s majetkom obce zodpovedá zriaďovateľovi podľa platných právnych noriem a podľa  pokynov zriaďovateľa knihovník.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2.</w:t>
      </w:r>
      <w:r>
        <w:rPr>
          <w:rFonts w:ascii="Times" w:hAnsi="Times" w:cs="Times"/>
          <w:sz w:val="22"/>
          <w:szCs w:val="22"/>
        </w:rPr>
        <w:tab/>
        <w:t>Knihovníka menuje a odvoláva starosta obce.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>Zriaďovateľ môže ustanoviť ako svoj poradný orgán pre činnosť knižnice knižničnú radu. Členmi knižničnej rady sú obyvatelia obce, ktorí môžu svojimi názormi a skúsenosťami priaznivo ovplyvniť činnosť knižnice.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t>§ 5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Hospodárenie knižnice</w:t>
      </w:r>
    </w:p>
    <w:p w:rsidR="0021127B" w:rsidRDefault="0021127B" w:rsidP="0021127B">
      <w:pPr>
        <w:autoSpaceDE w:val="0"/>
        <w:autoSpaceDN w:val="0"/>
        <w:adjustRightInd w:val="0"/>
        <w:ind w:right="-432"/>
        <w:rPr>
          <w:rFonts w:ascii="Times" w:hAnsi="Times" w:cs="Times"/>
          <w:sz w:val="20"/>
          <w:szCs w:val="20"/>
        </w:rPr>
      </w:pP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 xml:space="preserve">Hospodárenie knižnice je súčasťou hospodárenia obce a je viazané na rozpočet obce. V rozpočte obce sa každoročne stanovuje finančná čiastka na zabezpečenie činnosti knižnice a na nákup kníh. O jej výške je knihovník informovaný.  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2.</w:t>
      </w:r>
      <w:r>
        <w:rPr>
          <w:rFonts w:ascii="Times" w:hAnsi="Times" w:cs="Times"/>
          <w:sz w:val="22"/>
          <w:szCs w:val="22"/>
        </w:rPr>
        <w:tab/>
        <w:t>Knižničný fond a majetok, ktorý knižnica využíva pri svojej činnosti, je majetkom obce. Knihovník organizuje a spravuje zverený majetok podľa všeobecne záväzných právnych predpisov a zásad hospodárenia s majetkom obce.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 xml:space="preserve">Knihovník je povinný zaobchádzať so zverenými finančnými prostriedkami podľa pokynov zriaďovateľa a v stanovených termínoch predkladať vyúčtovanie. 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4.</w:t>
      </w:r>
      <w:r>
        <w:rPr>
          <w:rFonts w:ascii="Times" w:hAnsi="Times" w:cs="Times"/>
          <w:sz w:val="22"/>
          <w:szCs w:val="22"/>
        </w:rPr>
        <w:tab/>
        <w:t>Finančné zdroje knižnice sú :</w:t>
      </w:r>
    </w:p>
    <w:p w:rsidR="0021127B" w:rsidRDefault="0021127B" w:rsidP="0021127B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a)</w:t>
      </w:r>
      <w:r>
        <w:rPr>
          <w:rFonts w:ascii="Times" w:hAnsi="Times" w:cs="Times"/>
          <w:sz w:val="22"/>
          <w:szCs w:val="22"/>
        </w:rPr>
        <w:tab/>
        <w:t>rozpočet obce</w:t>
      </w:r>
    </w:p>
    <w:p w:rsidR="0021127B" w:rsidRDefault="0021127B" w:rsidP="0021127B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705" w:right="-432" w:hanging="705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b)</w:t>
      </w:r>
      <w:r>
        <w:rPr>
          <w:rFonts w:ascii="Times" w:hAnsi="Times" w:cs="Times"/>
          <w:sz w:val="22"/>
          <w:szCs w:val="22"/>
        </w:rPr>
        <w:tab/>
        <w:t xml:space="preserve">príjmy z poplatkov za knižničné činnosti, ktoré upravuje knižničný a výpožičný  poriadok (zápisné, upomienky, náhrada za stratené knihy) </w:t>
      </w:r>
    </w:p>
    <w:p w:rsidR="0021127B" w:rsidRDefault="0021127B" w:rsidP="0021127B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ab/>
        <w:t>sponzorské príspevky</w:t>
      </w:r>
    </w:p>
    <w:p w:rsidR="0021127B" w:rsidRDefault="0021127B" w:rsidP="0021127B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  <w:t>d)</w:t>
      </w:r>
      <w:r>
        <w:rPr>
          <w:rFonts w:ascii="Times" w:hAnsi="Times" w:cs="Times"/>
          <w:sz w:val="22"/>
          <w:szCs w:val="22"/>
        </w:rPr>
        <w:tab/>
      </w:r>
      <w:bookmarkStart w:id="0" w:name="_GoBack"/>
      <w:bookmarkEnd w:id="0"/>
      <w:r>
        <w:rPr>
          <w:rFonts w:ascii="Times" w:hAnsi="Times" w:cs="Times"/>
          <w:sz w:val="22"/>
          <w:szCs w:val="22"/>
        </w:rPr>
        <w:t>príjmy z iných aktivít kultúrneho charakteru  (zbierka na nákup kníh)</w:t>
      </w:r>
    </w:p>
    <w:p w:rsidR="0021127B" w:rsidRDefault="0021127B" w:rsidP="0021127B">
      <w:pPr>
        <w:autoSpaceDE w:val="0"/>
        <w:autoSpaceDN w:val="0"/>
        <w:adjustRightInd w:val="0"/>
        <w:spacing w:after="60" w:line="276" w:lineRule="auto"/>
        <w:ind w:left="284" w:right="-432" w:hanging="284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5.</w:t>
      </w:r>
      <w:r>
        <w:rPr>
          <w:rFonts w:ascii="Times" w:hAnsi="Times" w:cs="Times"/>
          <w:sz w:val="22"/>
          <w:szCs w:val="22"/>
        </w:rPr>
        <w:tab/>
        <w:t>Granty a sponzorské príspevky účelovo určené pre knižnicu musia byť zúčtované tak, aby bolo preukázateľné ich využitie.</w:t>
      </w:r>
    </w:p>
    <w:p w:rsidR="0021127B" w:rsidRDefault="0021127B" w:rsidP="0021127B">
      <w:pPr>
        <w:autoSpaceDE w:val="0"/>
        <w:autoSpaceDN w:val="0"/>
        <w:adjustRightInd w:val="0"/>
        <w:ind w:right="-432"/>
        <w:rPr>
          <w:rFonts w:ascii="Times" w:hAnsi="Times" w:cs="Times"/>
          <w:sz w:val="20"/>
          <w:szCs w:val="20"/>
        </w:rPr>
      </w:pPr>
    </w:p>
    <w:p w:rsidR="0021127B" w:rsidRDefault="0021127B" w:rsidP="0021127B">
      <w:pPr>
        <w:tabs>
          <w:tab w:val="left" w:pos="4744"/>
        </w:tabs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8"/>
          <w:szCs w:val="28"/>
        </w:rPr>
        <w:t>§ 6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Záverečné ustanovenie</w:t>
      </w:r>
    </w:p>
    <w:p w:rsidR="0021127B" w:rsidRDefault="0021127B" w:rsidP="0021127B">
      <w:pPr>
        <w:autoSpaceDE w:val="0"/>
        <w:autoSpaceDN w:val="0"/>
        <w:adjustRightInd w:val="0"/>
        <w:spacing w:after="60"/>
        <w:ind w:right="-432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21127B" w:rsidRDefault="0021127B" w:rsidP="0021127B">
      <w:pPr>
        <w:tabs>
          <w:tab w:val="left" w:pos="195"/>
        </w:tabs>
        <w:autoSpaceDE w:val="0"/>
        <w:autoSpaceDN w:val="0"/>
        <w:adjustRightInd w:val="0"/>
        <w:spacing w:after="120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Poskytovanie knižnično-informačných služieb upravuje knižničný a výpožičný poriadok .</w:t>
      </w:r>
    </w:p>
    <w:p w:rsidR="0021127B" w:rsidRDefault="0021127B" w:rsidP="0021127B">
      <w:pPr>
        <w:autoSpaceDE w:val="0"/>
        <w:autoSpaceDN w:val="0"/>
        <w:adjustRightInd w:val="0"/>
        <w:spacing w:after="120" w:line="276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Zmeny a doplnky tohto štatútu schvaľuje obecné zastupiteľstvo. Štatút bol schválený obecným zastupiteľstvom v .................................................................dňa...............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Štatút nadobudol účinnosť dňom  ............................................................................................................</w:t>
      </w:r>
    </w:p>
    <w:p w:rsidR="0021127B" w:rsidRDefault="0021127B" w:rsidP="0021127B">
      <w:pPr>
        <w:autoSpaceDE w:val="0"/>
        <w:autoSpaceDN w:val="0"/>
        <w:adjustRightInd w:val="0"/>
        <w:ind w:right="-432"/>
        <w:jc w:val="both"/>
        <w:rPr>
          <w:rFonts w:ascii="Times" w:hAnsi="Times" w:cs="Times"/>
          <w:sz w:val="22"/>
          <w:szCs w:val="22"/>
        </w:rPr>
      </w:pPr>
    </w:p>
    <w:p w:rsidR="0021127B" w:rsidRDefault="0021127B" w:rsidP="0021127B">
      <w:pPr>
        <w:autoSpaceDE w:val="0"/>
        <w:autoSpaceDN w:val="0"/>
        <w:adjustRightInd w:val="0"/>
        <w:ind w:right="-432"/>
        <w:jc w:val="both"/>
        <w:rPr>
          <w:rFonts w:ascii="Times" w:hAnsi="Times" w:cs="Times"/>
          <w:sz w:val="22"/>
          <w:szCs w:val="22"/>
        </w:rPr>
      </w:pPr>
    </w:p>
    <w:p w:rsidR="0021127B" w:rsidRDefault="0021127B" w:rsidP="0021127B">
      <w:pPr>
        <w:tabs>
          <w:tab w:val="left" w:pos="567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V ................................... </w:t>
      </w:r>
      <w:r>
        <w:rPr>
          <w:rFonts w:ascii="Times" w:hAnsi="Times" w:cs="Times"/>
          <w:sz w:val="22"/>
          <w:szCs w:val="22"/>
        </w:rPr>
        <w:tab/>
        <w:t>meno........</w:t>
      </w:r>
    </w:p>
    <w:p w:rsidR="0021127B" w:rsidRPr="00C71C0A" w:rsidRDefault="0021127B" w:rsidP="0021127B">
      <w:pPr>
        <w:tabs>
          <w:tab w:val="left" w:pos="567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Dňa .................</w:t>
      </w:r>
      <w:r>
        <w:rPr>
          <w:rFonts w:ascii="Times" w:hAnsi="Times" w:cs="Times"/>
          <w:sz w:val="22"/>
          <w:szCs w:val="22"/>
        </w:rPr>
        <w:tab/>
        <w:t>starosta</w:t>
      </w:r>
    </w:p>
    <w:sectPr w:rsidR="0021127B" w:rsidRPr="00C71C0A" w:rsidSect="002A52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141044"/>
    <w:lvl w:ilvl="0" w:tplc="72524B66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21127B"/>
    <w:rsid w:val="00374221"/>
    <w:rsid w:val="00551E18"/>
    <w:rsid w:val="007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27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11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27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1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2020-10-13T06:20:00Z</dcterms:created>
  <dcterms:modified xsi:type="dcterms:W3CDTF">2020-10-13T06:20:00Z</dcterms:modified>
</cp:coreProperties>
</file>